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F5163B" w14:textId="7C0541E6" w:rsidR="008A655B" w:rsidRPr="008A655B" w:rsidRDefault="008A655B" w:rsidP="00B2290E">
      <w:pPr>
        <w:pStyle w:val="Heading2"/>
        <w:rPr>
          <w:rFonts w:eastAsia="Times New Roman"/>
          <w:lang w:eastAsia="en-GB"/>
        </w:rPr>
      </w:pPr>
      <w:r w:rsidRPr="008A655B">
        <w:rPr>
          <w:rFonts w:eastAsia="Times New Roman"/>
          <w:lang w:eastAsia="en-GB"/>
        </w:rPr>
        <w:t>Microfinance as Market Development: From Innovation to Scale</w:t>
      </w:r>
    </w:p>
    <w:p w14:paraId="6262D496" w14:textId="77777777" w:rsidR="008A655B" w:rsidRPr="008A655B" w:rsidRDefault="008A655B" w:rsidP="00B34373">
      <w:pPr>
        <w:rPr>
          <w:lang w:eastAsia="en-GB"/>
        </w:rPr>
      </w:pPr>
      <w:r w:rsidRPr="008A655B">
        <w:rPr>
          <w:lang w:eastAsia="en-GB"/>
        </w:rPr>
        <w:t>Microfinance is one of the most instructive examples of how an inclusive financial market can be deliberately developed over time. Its evolution illustrates that successful scaling is not the result of a single intervention, but of a long sequence of coordinated actions across different stages of market development.</w:t>
      </w:r>
    </w:p>
    <w:p w14:paraId="048261C7" w14:textId="77777777" w:rsidR="008A655B" w:rsidRPr="008A655B" w:rsidRDefault="008A655B" w:rsidP="00B34373">
      <w:pPr>
        <w:rPr>
          <w:lang w:eastAsia="en-GB"/>
        </w:rPr>
      </w:pPr>
      <w:r w:rsidRPr="008A655B">
        <w:rPr>
          <w:lang w:eastAsia="en-GB"/>
        </w:rPr>
        <w:t>The first stage was </w:t>
      </w:r>
      <w:r w:rsidRPr="008A655B">
        <w:rPr>
          <w:b/>
          <w:bCs/>
          <w:lang w:eastAsia="en-GB"/>
        </w:rPr>
        <w:t>innovation</w:t>
      </w:r>
      <w:r w:rsidRPr="008A655B">
        <w:rPr>
          <w:lang w:eastAsia="en-GB"/>
        </w:rPr>
        <w:t>. Early pioneers such as Grameen, BRAC, and ACCION experimented with fundamentally new approaches to financial inclusion. The concept of social collateral, group lending, and doorstep banking addressed a clearly defined market failure: the exclusion of low-income households from formal finance. This phase required long time horizons, high tolerance for failure, and substantial concessional funding. Foundations, donors, and field builders played a critical role, absorbing risk and allowing experimentation before commercial viability was proven.</w:t>
      </w:r>
    </w:p>
    <w:p w14:paraId="18EDB642" w14:textId="77777777" w:rsidR="008A655B" w:rsidRPr="008A655B" w:rsidRDefault="008A655B" w:rsidP="00B34373">
      <w:pPr>
        <w:rPr>
          <w:lang w:eastAsia="en-GB"/>
        </w:rPr>
      </w:pPr>
      <w:r w:rsidRPr="008A655B">
        <w:rPr>
          <w:lang w:eastAsia="en-GB"/>
        </w:rPr>
        <w:t>Once the model demonstrated its relevance, microfinance entered a second stage of </w:t>
      </w:r>
      <w:r w:rsidRPr="008A655B">
        <w:rPr>
          <w:b/>
          <w:bCs/>
          <w:lang w:eastAsia="en-GB"/>
        </w:rPr>
        <w:t>replication and sector building</w:t>
      </w:r>
      <w:r w:rsidRPr="008A655B">
        <w:rPr>
          <w:lang w:eastAsia="en-GB"/>
        </w:rPr>
        <w:t>. Institutions replicated proven models locally and across geographies, while support actors focused on building the broader market infrastructure. This included the development of performance benchmarks, industry associations, regulatory frameworks, and professional capacity. Capital at this stage remained largely catalytic: concessional but structured to impose financial discipline and generate early track records.</w:t>
      </w:r>
    </w:p>
    <w:p w14:paraId="7275C6D5" w14:textId="77777777" w:rsidR="008A655B" w:rsidRPr="008A655B" w:rsidRDefault="008A655B" w:rsidP="00B34373">
      <w:pPr>
        <w:rPr>
          <w:lang w:eastAsia="en-GB"/>
        </w:rPr>
      </w:pPr>
      <w:r w:rsidRPr="008A655B">
        <w:rPr>
          <w:lang w:eastAsia="en-GB"/>
        </w:rPr>
        <w:t>The third stage was </w:t>
      </w:r>
      <w:r w:rsidRPr="008A655B">
        <w:rPr>
          <w:b/>
          <w:bCs/>
          <w:lang w:eastAsia="en-GB"/>
        </w:rPr>
        <w:t>scale-up</w:t>
      </w:r>
      <w:r w:rsidRPr="008A655B">
        <w:rPr>
          <w:lang w:eastAsia="en-GB"/>
        </w:rPr>
        <w:t>. As volumes increased and risks became better understood, microfinance attracted mainstream capital. Local funding sources—deposits, pension funds, and domestic financial institutions—became decisive. At this point, the role of public and philanthropic capital shifted from direct support to targeted de-risking and market facilitation.</w:t>
      </w:r>
    </w:p>
    <w:p w14:paraId="2B59D6CF" w14:textId="77777777" w:rsidR="008A655B" w:rsidRPr="008A655B" w:rsidRDefault="008A655B" w:rsidP="00B34373">
      <w:pPr>
        <w:rPr>
          <w:lang w:eastAsia="en-GB"/>
        </w:rPr>
      </w:pPr>
      <w:r w:rsidRPr="008A655B">
        <w:rPr>
          <w:lang w:eastAsia="en-GB"/>
        </w:rPr>
        <w:t>The key lesson from microfinance is not that scaling is linear or fast—it took over three decades—but that markets mature through </w:t>
      </w:r>
      <w:r w:rsidRPr="008A655B">
        <w:rPr>
          <w:b/>
          <w:bCs/>
          <w:lang w:eastAsia="en-GB"/>
        </w:rPr>
        <w:t>distinct stages</w:t>
      </w:r>
      <w:r w:rsidRPr="008A655B">
        <w:rPr>
          <w:lang w:eastAsia="en-GB"/>
        </w:rPr>
        <w:t>, each requiring different actors, instruments, and expectations. This insight provides a useful template for thinking about other inclusive finance segments, including missing middle finance.</w:t>
      </w:r>
    </w:p>
    <w:p w14:paraId="4B2A681F" w14:textId="77777777" w:rsidR="008363A7" w:rsidRDefault="008363A7"/>
    <w:sectPr w:rsidR="008363A7">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AC6E4" w14:textId="77777777" w:rsidR="008363A7" w:rsidRDefault="008363A7" w:rsidP="008363A7">
      <w:pPr>
        <w:spacing w:after="0" w:line="240" w:lineRule="auto"/>
      </w:pPr>
      <w:r>
        <w:separator/>
      </w:r>
    </w:p>
  </w:endnote>
  <w:endnote w:type="continuationSeparator" w:id="0">
    <w:p w14:paraId="034CE6E1" w14:textId="77777777" w:rsidR="008363A7" w:rsidRDefault="008363A7" w:rsidP="008363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4909E9" w14:textId="77777777" w:rsidR="00B2290E" w:rsidRDefault="00B2290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08CAF" w14:textId="77777777" w:rsidR="00B2290E" w:rsidRDefault="00B2290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78866C" w14:textId="77777777" w:rsidR="00B2290E" w:rsidRDefault="00B2290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49A555" w14:textId="77777777" w:rsidR="008363A7" w:rsidRDefault="008363A7" w:rsidP="008363A7">
      <w:pPr>
        <w:spacing w:after="0" w:line="240" w:lineRule="auto"/>
      </w:pPr>
      <w:r>
        <w:separator/>
      </w:r>
    </w:p>
  </w:footnote>
  <w:footnote w:type="continuationSeparator" w:id="0">
    <w:p w14:paraId="5BDB60A0" w14:textId="77777777" w:rsidR="008363A7" w:rsidRDefault="008363A7" w:rsidP="008363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D8AAB1" w14:textId="77777777" w:rsidR="00B2290E" w:rsidRDefault="00B2290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90E1C9" w14:textId="62EF0771" w:rsidR="008363A7" w:rsidRDefault="008363A7" w:rsidP="00C577BE">
    <w:pPr>
      <w:pStyle w:val="Header"/>
    </w:pPr>
    <w:r>
      <w:rPr>
        <w:noProof/>
      </w:rPr>
      <w:drawing>
        <wp:anchor distT="0" distB="0" distL="114300" distR="114300" simplePos="0" relativeHeight="251658240" behindDoc="0" locked="0" layoutInCell="1" allowOverlap="1" wp14:anchorId="298D65D4" wp14:editId="70AE8F2C">
          <wp:simplePos x="0" y="0"/>
          <wp:positionH relativeFrom="column">
            <wp:posOffset>-635</wp:posOffset>
          </wp:positionH>
          <wp:positionV relativeFrom="paragraph">
            <wp:posOffset>-135255</wp:posOffset>
          </wp:positionV>
          <wp:extent cx="1209675" cy="457200"/>
          <wp:effectExtent l="0" t="0" r="0" b="0"/>
          <wp:wrapThrough wrapText="bothSides">
            <wp:wrapPolygon edited="0">
              <wp:start x="0" y="0"/>
              <wp:lineTo x="0" y="21000"/>
              <wp:lineTo x="21317" y="21000"/>
              <wp:lineTo x="21317" y="0"/>
              <wp:lineTo x="0" y="0"/>
            </wp:wrapPolygon>
          </wp:wrapThrough>
          <wp:docPr id="390964477" name="Picture 2" descr="A logo with handshake and arrow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964477" name="Picture 2" descr="A logo with handshake and arrows&#10;&#10;AI-generated content may be incorrect."/>
                  <pic:cNvPicPr/>
                </pic:nvPicPr>
                <pic:blipFill rotWithShape="1">
                  <a:blip r:embed="rId1">
                    <a:extLst>
                      <a:ext uri="{28A0092B-C50C-407E-A947-70E740481C1C}">
                        <a14:useLocalDpi xmlns:a14="http://schemas.microsoft.com/office/drawing/2010/main" val="0"/>
                      </a:ext>
                    </a:extLst>
                  </a:blip>
                  <a:srcRect l="5645" t="31417" r="3536" b="34219"/>
                  <a:stretch>
                    <a:fillRect/>
                  </a:stretch>
                </pic:blipFill>
                <pic:spPr bwMode="auto">
                  <a:xfrm>
                    <a:off x="0" y="0"/>
                    <a:ext cx="1209675" cy="4572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577BE">
      <w:rPr>
        <w:color w:val="2A98DB"/>
      </w:rPr>
      <w:tab/>
    </w:r>
    <w:r w:rsidR="00C577BE">
      <w:rPr>
        <w:color w:val="2A98DB"/>
      </w:rPr>
      <w:tab/>
    </w:r>
    <w:r w:rsidR="00B2290E" w:rsidRPr="00C577BE">
      <w:rPr>
        <w:color w:val="2A98DB"/>
      </w:rPr>
      <w:t>2026</w:t>
    </w:r>
    <w:r w:rsidR="00CE526A" w:rsidRPr="00C577BE">
      <w:rPr>
        <w:color w:val="2A98DB"/>
      </w:rPr>
      <w:t xml:space="preserve"> // M.N.Mulder</w:t>
    </w:r>
  </w:p>
  <w:p w14:paraId="24A663F2" w14:textId="77777777" w:rsidR="008363A7" w:rsidRDefault="008363A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9B7BAF" w14:textId="77777777" w:rsidR="00B2290E" w:rsidRDefault="00B2290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46E4E"/>
    <w:multiLevelType w:val="multilevel"/>
    <w:tmpl w:val="CC8C8C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B750AC0"/>
    <w:multiLevelType w:val="hybridMultilevel"/>
    <w:tmpl w:val="0DEECE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89351584">
    <w:abstractNumId w:val="0"/>
  </w:num>
  <w:num w:numId="2" w16cid:durableId="17229725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proofState w:spelling="clean" w:grammar="clean"/>
  <w:defaultTabStop w:val="720"/>
  <w:characterSpacingControl w:val="doNotCompress"/>
  <w:hdrShapeDefaults>
    <o:shapedefaults v:ext="edit" spidmax="205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63A7"/>
    <w:rsid w:val="003A5A3F"/>
    <w:rsid w:val="00557A99"/>
    <w:rsid w:val="006C39B5"/>
    <w:rsid w:val="006E0D55"/>
    <w:rsid w:val="007548EF"/>
    <w:rsid w:val="008363A7"/>
    <w:rsid w:val="008A655B"/>
    <w:rsid w:val="00B2290E"/>
    <w:rsid w:val="00B34373"/>
    <w:rsid w:val="00C577BE"/>
    <w:rsid w:val="00C64D4C"/>
    <w:rsid w:val="00CE526A"/>
    <w:rsid w:val="00EF3AFF"/>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2"/>
    </o:shapelayout>
  </w:shapeDefaults>
  <w:decimalSymbol w:val=","/>
  <w:listSeparator w:val=","/>
  <w14:docId w14:val="3F6874BB"/>
  <w15:chartTrackingRefBased/>
  <w15:docId w15:val="{007EE6F0-8395-954D-95B8-05F1B1AB3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363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8363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363A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363A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363A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363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363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363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363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63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363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363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363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363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363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363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363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363A7"/>
    <w:rPr>
      <w:rFonts w:eastAsiaTheme="majorEastAsia" w:cstheme="majorBidi"/>
      <w:color w:val="272727" w:themeColor="text1" w:themeTint="D8"/>
    </w:rPr>
  </w:style>
  <w:style w:type="paragraph" w:styleId="Title">
    <w:name w:val="Title"/>
    <w:basedOn w:val="Normal"/>
    <w:next w:val="Normal"/>
    <w:link w:val="TitleChar"/>
    <w:uiPriority w:val="10"/>
    <w:qFormat/>
    <w:rsid w:val="008363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363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363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363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363A7"/>
    <w:pPr>
      <w:spacing w:before="160"/>
      <w:jc w:val="center"/>
    </w:pPr>
    <w:rPr>
      <w:i/>
      <w:iCs/>
      <w:color w:val="404040" w:themeColor="text1" w:themeTint="BF"/>
    </w:rPr>
  </w:style>
  <w:style w:type="character" w:customStyle="1" w:styleId="QuoteChar">
    <w:name w:val="Quote Char"/>
    <w:basedOn w:val="DefaultParagraphFont"/>
    <w:link w:val="Quote"/>
    <w:uiPriority w:val="29"/>
    <w:rsid w:val="008363A7"/>
    <w:rPr>
      <w:i/>
      <w:iCs/>
      <w:color w:val="404040" w:themeColor="text1" w:themeTint="BF"/>
    </w:rPr>
  </w:style>
  <w:style w:type="paragraph" w:styleId="ListParagraph">
    <w:name w:val="List Paragraph"/>
    <w:basedOn w:val="Normal"/>
    <w:uiPriority w:val="34"/>
    <w:qFormat/>
    <w:rsid w:val="008363A7"/>
    <w:pPr>
      <w:ind w:left="720"/>
      <w:contextualSpacing/>
    </w:pPr>
  </w:style>
  <w:style w:type="character" w:styleId="IntenseEmphasis">
    <w:name w:val="Intense Emphasis"/>
    <w:basedOn w:val="DefaultParagraphFont"/>
    <w:uiPriority w:val="21"/>
    <w:qFormat/>
    <w:rsid w:val="008363A7"/>
    <w:rPr>
      <w:i/>
      <w:iCs/>
      <w:color w:val="0F4761" w:themeColor="accent1" w:themeShade="BF"/>
    </w:rPr>
  </w:style>
  <w:style w:type="paragraph" w:styleId="IntenseQuote">
    <w:name w:val="Intense Quote"/>
    <w:basedOn w:val="Normal"/>
    <w:next w:val="Normal"/>
    <w:link w:val="IntenseQuoteChar"/>
    <w:uiPriority w:val="30"/>
    <w:qFormat/>
    <w:rsid w:val="008363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363A7"/>
    <w:rPr>
      <w:i/>
      <w:iCs/>
      <w:color w:val="0F4761" w:themeColor="accent1" w:themeShade="BF"/>
    </w:rPr>
  </w:style>
  <w:style w:type="character" w:styleId="IntenseReference">
    <w:name w:val="Intense Reference"/>
    <w:basedOn w:val="DefaultParagraphFont"/>
    <w:uiPriority w:val="32"/>
    <w:qFormat/>
    <w:rsid w:val="008363A7"/>
    <w:rPr>
      <w:b/>
      <w:bCs/>
      <w:smallCaps/>
      <w:color w:val="0F4761" w:themeColor="accent1" w:themeShade="BF"/>
      <w:spacing w:val="5"/>
    </w:rPr>
  </w:style>
  <w:style w:type="character" w:styleId="Strong">
    <w:name w:val="Strong"/>
    <w:basedOn w:val="DefaultParagraphFont"/>
    <w:uiPriority w:val="22"/>
    <w:qFormat/>
    <w:rsid w:val="008363A7"/>
    <w:rPr>
      <w:b/>
      <w:bCs/>
    </w:rPr>
  </w:style>
  <w:style w:type="paragraph" w:styleId="NormalWeb">
    <w:name w:val="Normal (Web)"/>
    <w:basedOn w:val="Normal"/>
    <w:uiPriority w:val="99"/>
    <w:semiHidden/>
    <w:unhideWhenUsed/>
    <w:rsid w:val="008363A7"/>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apple-converted-space">
    <w:name w:val="apple-converted-space"/>
    <w:basedOn w:val="DefaultParagraphFont"/>
    <w:rsid w:val="008363A7"/>
  </w:style>
  <w:style w:type="paragraph" w:styleId="Header">
    <w:name w:val="header"/>
    <w:basedOn w:val="Normal"/>
    <w:link w:val="HeaderChar"/>
    <w:uiPriority w:val="99"/>
    <w:unhideWhenUsed/>
    <w:rsid w:val="008363A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63A7"/>
  </w:style>
  <w:style w:type="paragraph" w:styleId="Footer">
    <w:name w:val="footer"/>
    <w:basedOn w:val="Normal"/>
    <w:link w:val="FooterChar"/>
    <w:uiPriority w:val="99"/>
    <w:unhideWhenUsed/>
    <w:rsid w:val="008363A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63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328</Words>
  <Characters>1870</Characters>
  <Application>Microsoft Office Word</Application>
  <DocSecurity>0</DocSecurity>
  <Lines>15</Lines>
  <Paragraphs>4</Paragraphs>
  <ScaleCrop>false</ScaleCrop>
  <Company/>
  <LinksUpToDate>false</LinksUpToDate>
  <CharactersWithSpaces>2194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Marnix Mulder</dc:creator>
  <cp:keywords/>
  <dc:description/>
  <cp:lastModifiedBy>Marnix Mulder</cp:lastModifiedBy>
  <cp:revision>3</cp:revision>
  <dcterms:created xsi:type="dcterms:W3CDTF">2026-01-07T16:04:00Z</dcterms:created>
  <dcterms:modified xsi:type="dcterms:W3CDTF">2026-01-07T16:05:00Z</dcterms:modified>
</cp:coreProperties>
</file>